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88F" w:rsidRDefault="0004588F" w:rsidP="0004588F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04588F" w:rsidRDefault="0004588F" w:rsidP="0004588F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04588F" w:rsidRDefault="0004588F" w:rsidP="0004588F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04588F" w:rsidRDefault="0004588F" w:rsidP="0004588F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04588F" w:rsidRDefault="0004588F" w:rsidP="0004588F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04588F" w:rsidRDefault="0004588F" w:rsidP="0004588F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04588F" w:rsidRDefault="0004588F" w:rsidP="0004588F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04588F" w:rsidRDefault="0004588F" w:rsidP="0004588F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04588F" w:rsidRDefault="0004588F" w:rsidP="0004588F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04588F" w:rsidRDefault="0004588F" w:rsidP="0004588F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04588F" w:rsidRDefault="0004588F" w:rsidP="0004588F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04588F" w:rsidRDefault="0004588F" w:rsidP="0004588F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04588F" w:rsidRPr="002316AB" w:rsidRDefault="0004588F" w:rsidP="0004588F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2316AB">
        <w:rPr>
          <w:rFonts w:asciiTheme="minorHAnsi" w:hAnsiTheme="minorHAnsi" w:cstheme="minorHAnsi"/>
          <w:b/>
          <w:sz w:val="36"/>
          <w:szCs w:val="36"/>
        </w:rPr>
        <w:t>SPECYFIKACJA TECHNICZNA WYKONANIA I ODBIORU ROBÓT</w:t>
      </w:r>
    </w:p>
    <w:p w:rsidR="0004588F" w:rsidRDefault="0004588F" w:rsidP="0004588F">
      <w:pPr>
        <w:pStyle w:val="Legenda"/>
        <w:jc w:val="center"/>
        <w:rPr>
          <w:rFonts w:asciiTheme="minorHAnsi" w:hAnsiTheme="minorHAnsi" w:cstheme="minorHAnsi"/>
          <w:sz w:val="36"/>
          <w:szCs w:val="36"/>
        </w:rPr>
      </w:pPr>
      <w:r w:rsidRPr="002316AB">
        <w:rPr>
          <w:rFonts w:asciiTheme="minorHAnsi" w:hAnsiTheme="minorHAnsi" w:cstheme="minorHAnsi"/>
          <w:sz w:val="36"/>
          <w:szCs w:val="36"/>
        </w:rPr>
        <w:t>D-0</w:t>
      </w:r>
      <w:r>
        <w:rPr>
          <w:rFonts w:asciiTheme="minorHAnsi" w:hAnsiTheme="minorHAnsi" w:cstheme="minorHAnsi"/>
          <w:sz w:val="36"/>
          <w:szCs w:val="36"/>
        </w:rPr>
        <w:t>4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>3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>1</w:t>
      </w:r>
      <w:r w:rsidRPr="002316AB">
        <w:rPr>
          <w:rFonts w:asciiTheme="minorHAnsi" w:hAnsiTheme="minorHAnsi" w:cstheme="minorHAnsi"/>
          <w:sz w:val="36"/>
          <w:szCs w:val="36"/>
        </w:rPr>
        <w:t xml:space="preserve"> </w:t>
      </w:r>
      <w:r>
        <w:rPr>
          <w:rFonts w:asciiTheme="minorHAnsi" w:hAnsiTheme="minorHAnsi" w:cstheme="minorHAnsi"/>
          <w:sz w:val="36"/>
          <w:szCs w:val="36"/>
        </w:rPr>
        <w:t>Oczyszczenie i skropienie warstw konstrukcyjnych</w:t>
      </w:r>
    </w:p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Default="0004588F" w:rsidP="0004588F"/>
    <w:p w:rsidR="0004588F" w:rsidRPr="00F97019" w:rsidRDefault="0004588F" w:rsidP="0004588F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F97019">
        <w:rPr>
          <w:rFonts w:asciiTheme="minorHAnsi" w:hAnsiTheme="minorHAnsi" w:cstheme="minorHAnsi"/>
        </w:rPr>
        <w:lastRenderedPageBreak/>
        <w:t>Wstęp</w:t>
      </w:r>
    </w:p>
    <w:p w:rsidR="0004588F" w:rsidRPr="00EA3711" w:rsidRDefault="0004588F" w:rsidP="0004588F"/>
    <w:p w:rsidR="0004588F" w:rsidRPr="004B7E1B" w:rsidRDefault="0004588F" w:rsidP="0004588F">
      <w:pPr>
        <w:pStyle w:val="Nagwek2"/>
        <w:rPr>
          <w:rFonts w:asciiTheme="minorHAnsi" w:hAnsiTheme="minorHAnsi" w:cstheme="minorHAnsi"/>
          <w:u w:val="single"/>
        </w:rPr>
      </w:pPr>
      <w:r w:rsidRPr="004B7E1B">
        <w:rPr>
          <w:rFonts w:asciiTheme="minorHAnsi" w:hAnsiTheme="minorHAnsi" w:cstheme="minorHAnsi"/>
          <w:u w:val="single"/>
        </w:rPr>
        <w:t>Przedmiot Specyfikacji Technicznej</w:t>
      </w:r>
    </w:p>
    <w:p w:rsidR="0004588F" w:rsidRPr="007E2EB1" w:rsidRDefault="00DC5EF3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bCs/>
          <w:sz w:val="24"/>
          <w:szCs w:val="24"/>
        </w:rPr>
      </w:pPr>
      <w:r w:rsidRPr="007E2EB1">
        <w:rPr>
          <w:rFonts w:asciiTheme="minorHAnsi" w:hAnsiTheme="minorHAnsi" w:cstheme="minorHAnsi"/>
          <w:snapToGrid w:val="0"/>
          <w:sz w:val="24"/>
          <w:szCs w:val="24"/>
        </w:rPr>
        <w:t xml:space="preserve">Przedmiotem niniejszej Specyfikacji Technicznej są wymagania dotyczące wykonania </w:t>
      </w:r>
      <w:r w:rsidRPr="007E2EB1">
        <w:rPr>
          <w:rFonts w:asciiTheme="minorHAnsi" w:hAnsiTheme="minorHAnsi" w:cstheme="minorHAnsi"/>
          <w:snapToGrid w:val="0"/>
          <w:sz w:val="24"/>
          <w:szCs w:val="24"/>
        </w:rPr>
        <w:br/>
        <w:t>i odbioru oczyszczenia i skropienia warstw konstrukcyjnych w związku z</w:t>
      </w:r>
      <w:r w:rsidR="0004588F" w:rsidRPr="007E2EB1">
        <w:rPr>
          <w:rFonts w:asciiTheme="minorHAnsi" w:hAnsiTheme="minorHAnsi" w:cstheme="minorHAnsi"/>
          <w:sz w:val="24"/>
          <w:szCs w:val="24"/>
        </w:rPr>
        <w:t xml:space="preserve"> </w:t>
      </w:r>
      <w:r w:rsidRPr="007E2EB1">
        <w:rPr>
          <w:rFonts w:asciiTheme="minorHAnsi" w:hAnsiTheme="minorHAnsi" w:cstheme="minorHAnsi"/>
          <w:bCs/>
          <w:sz w:val="24"/>
          <w:szCs w:val="24"/>
        </w:rPr>
        <w:t>przebudową</w:t>
      </w:r>
      <w:r w:rsidR="0004588F" w:rsidRPr="007E2EB1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E2EB1" w:rsidRPr="007E2EB1">
        <w:rPr>
          <w:rFonts w:asciiTheme="minorHAnsi" w:hAnsiTheme="minorHAnsi" w:cstheme="minorHAnsi"/>
          <w:spacing w:val="-3"/>
          <w:sz w:val="24"/>
          <w:szCs w:val="24"/>
        </w:rPr>
        <w:t xml:space="preserve">drogi gminnej nr 114157E „Pustelnik – Kolonia </w:t>
      </w:r>
      <w:proofErr w:type="spellStart"/>
      <w:r w:rsidR="007E2EB1" w:rsidRPr="007E2EB1">
        <w:rPr>
          <w:rFonts w:asciiTheme="minorHAnsi" w:hAnsiTheme="minorHAnsi" w:cstheme="minorHAnsi"/>
          <w:spacing w:val="-3"/>
          <w:sz w:val="24"/>
          <w:szCs w:val="24"/>
        </w:rPr>
        <w:t>Brzeźnio</w:t>
      </w:r>
      <w:proofErr w:type="spellEnd"/>
      <w:r w:rsidR="007E2EB1" w:rsidRPr="007E2EB1">
        <w:rPr>
          <w:rFonts w:asciiTheme="minorHAnsi" w:hAnsiTheme="minorHAnsi" w:cstheme="minorHAnsi"/>
          <w:spacing w:val="-3"/>
          <w:sz w:val="24"/>
          <w:szCs w:val="24"/>
        </w:rPr>
        <w:t>” na odcinku ok. 1186 mb (km od 0+977 do km 2+163).</w:t>
      </w:r>
    </w:p>
    <w:p w:rsidR="0004588F" w:rsidRPr="001274AE" w:rsidRDefault="0004588F" w:rsidP="0004588F">
      <w:pPr>
        <w:rPr>
          <w:rFonts w:asciiTheme="minorHAnsi" w:hAnsiTheme="minorHAnsi" w:cstheme="minorHAnsi"/>
        </w:rPr>
      </w:pPr>
    </w:p>
    <w:p w:rsidR="0004588F" w:rsidRPr="004B7E1B" w:rsidRDefault="0004588F" w:rsidP="0004588F">
      <w:pPr>
        <w:pStyle w:val="Nagwek2"/>
        <w:rPr>
          <w:rFonts w:asciiTheme="minorHAnsi" w:hAnsiTheme="minorHAnsi" w:cstheme="minorHAnsi"/>
          <w:u w:val="single"/>
        </w:rPr>
      </w:pPr>
      <w:r w:rsidRPr="004B7E1B">
        <w:rPr>
          <w:rFonts w:asciiTheme="minorHAnsi" w:hAnsiTheme="minorHAnsi" w:cstheme="minorHAnsi"/>
          <w:u w:val="single"/>
        </w:rPr>
        <w:t xml:space="preserve"> Zakres stosowania Specyfikacji Technicznej</w:t>
      </w:r>
    </w:p>
    <w:p w:rsidR="0004588F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274AE">
        <w:rPr>
          <w:rFonts w:asciiTheme="minorHAnsi" w:hAnsiTheme="minorHAnsi" w:cstheme="minorHAnsi"/>
          <w:spacing w:val="-3"/>
          <w:sz w:val="24"/>
          <w:szCs w:val="24"/>
        </w:rPr>
        <w:t xml:space="preserve">Specyfikacje Techniczne stanowią część Dokumentów Przetargowych i Kontraktowych </w:t>
      </w:r>
      <w:r w:rsidRPr="001274AE">
        <w:rPr>
          <w:rFonts w:asciiTheme="minorHAnsi" w:hAnsiTheme="minorHAnsi" w:cstheme="minorHAnsi"/>
          <w:spacing w:val="-3"/>
          <w:sz w:val="24"/>
          <w:szCs w:val="24"/>
        </w:rPr>
        <w:br/>
        <w:t>i należy je stosowa</w:t>
      </w:r>
      <w:r w:rsidRPr="001274AE">
        <w:rPr>
          <w:rFonts w:asciiTheme="minorHAnsi" w:hAnsiTheme="minorHAnsi" w:cstheme="minorHAnsi"/>
          <w:spacing w:val="-3"/>
          <w:sz w:val="24"/>
          <w:szCs w:val="24"/>
        </w:rPr>
        <w:sym w:font="Times New Roman" w:char="0107"/>
      </w:r>
      <w:r w:rsidRPr="001274AE">
        <w:rPr>
          <w:rFonts w:asciiTheme="minorHAnsi" w:hAnsiTheme="minorHAnsi" w:cstheme="minorHAnsi"/>
          <w:spacing w:val="-3"/>
          <w:sz w:val="24"/>
          <w:szCs w:val="24"/>
        </w:rPr>
        <w:t xml:space="preserve"> w zlecaniu i wykonaniu Robót opisanych w podpunkcie 1.1 . </w:t>
      </w:r>
    </w:p>
    <w:p w:rsidR="0004588F" w:rsidRDefault="0004588F" w:rsidP="0004588F"/>
    <w:p w:rsidR="0004588F" w:rsidRPr="00561176" w:rsidRDefault="0004588F" w:rsidP="0004588F">
      <w:pPr>
        <w:pStyle w:val="Nagwek2"/>
        <w:rPr>
          <w:rFonts w:asciiTheme="minorHAnsi" w:hAnsiTheme="minorHAnsi" w:cstheme="minorHAnsi"/>
          <w:u w:val="single"/>
        </w:rPr>
      </w:pPr>
      <w:r w:rsidRPr="00561176">
        <w:rPr>
          <w:rFonts w:asciiTheme="minorHAnsi" w:hAnsiTheme="minorHAnsi" w:cstheme="minorHAnsi"/>
          <w:u w:val="single"/>
        </w:rPr>
        <w:t>Zakres robót objętych ST</w:t>
      </w:r>
    </w:p>
    <w:p w:rsidR="0004588F" w:rsidRPr="00561176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61176">
        <w:rPr>
          <w:rFonts w:asciiTheme="minorHAnsi" w:hAnsiTheme="minorHAnsi" w:cstheme="minorHAnsi"/>
          <w:spacing w:val="-3"/>
          <w:sz w:val="24"/>
          <w:szCs w:val="24"/>
        </w:rPr>
        <w:t>Ustalenia zawarte w niniejszej specyfikacji dotyczą prowadzenia robót przy oczyszczaniu i skrapianiu warstw konstrukcyjnych nawierzchni i obejmują:</w:t>
      </w:r>
    </w:p>
    <w:p w:rsidR="0004588F" w:rsidRPr="00561176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04588F" w:rsidRPr="00561176" w:rsidRDefault="0004588F" w:rsidP="0004588F">
      <w:pPr>
        <w:pStyle w:val="Nagwek2"/>
        <w:numPr>
          <w:ilvl w:val="0"/>
          <w:numId w:val="4"/>
        </w:numPr>
        <w:tabs>
          <w:tab w:val="left" w:pos="-720"/>
        </w:tabs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561176">
        <w:rPr>
          <w:rFonts w:asciiTheme="minorHAnsi" w:hAnsiTheme="minorHAnsi" w:cstheme="minorHAnsi"/>
          <w:spacing w:val="-3"/>
          <w:sz w:val="24"/>
          <w:szCs w:val="24"/>
        </w:rPr>
        <w:t xml:space="preserve">oczyszczenie i skropienie </w:t>
      </w:r>
      <w:proofErr w:type="spellStart"/>
      <w:r w:rsidRPr="00561176">
        <w:rPr>
          <w:rFonts w:asciiTheme="minorHAnsi" w:hAnsiTheme="minorHAnsi" w:cstheme="minorHAnsi"/>
          <w:spacing w:val="-3"/>
          <w:sz w:val="24"/>
          <w:szCs w:val="24"/>
        </w:rPr>
        <w:t>niebitumicznych</w:t>
      </w:r>
      <w:proofErr w:type="spellEnd"/>
      <w:r w:rsidRPr="00561176">
        <w:rPr>
          <w:rFonts w:asciiTheme="minorHAnsi" w:hAnsiTheme="minorHAnsi" w:cstheme="minorHAnsi"/>
          <w:spacing w:val="-3"/>
          <w:sz w:val="24"/>
          <w:szCs w:val="24"/>
        </w:rPr>
        <w:t xml:space="preserve"> i bitumicznych warstw konstrukcyjnych nawierzchni</w:t>
      </w:r>
      <w:r>
        <w:rPr>
          <w:rFonts w:asciiTheme="minorHAnsi" w:hAnsiTheme="minorHAnsi" w:cstheme="minorHAnsi"/>
          <w:spacing w:val="-3"/>
          <w:sz w:val="24"/>
          <w:szCs w:val="24"/>
        </w:rPr>
        <w:t>.</w:t>
      </w:r>
      <w:r w:rsidRPr="0056117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04588F" w:rsidRPr="00561176" w:rsidRDefault="0004588F" w:rsidP="0004588F">
      <w:pPr>
        <w:pStyle w:val="Nagwek2"/>
        <w:rPr>
          <w:rFonts w:asciiTheme="minorHAnsi" w:hAnsiTheme="minorHAnsi" w:cstheme="minorHAnsi"/>
          <w:u w:val="single"/>
        </w:rPr>
      </w:pPr>
      <w:r w:rsidRPr="00561176">
        <w:rPr>
          <w:rFonts w:asciiTheme="minorHAnsi" w:hAnsiTheme="minorHAnsi" w:cstheme="minorHAnsi"/>
          <w:u w:val="single"/>
        </w:rPr>
        <w:t>Określenia podstawowe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04588F" w:rsidRPr="00561176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61176">
        <w:rPr>
          <w:rFonts w:asciiTheme="minorHAnsi" w:hAnsiTheme="minorHAnsi" w:cstheme="minorHAnsi"/>
          <w:spacing w:val="-3"/>
          <w:sz w:val="24"/>
          <w:szCs w:val="24"/>
        </w:rPr>
        <w:t>Określenia podstawowe podane w niniejszej ST są zgodne z obowiązującymi odpowiednimi normami i ST D-M.00.00.00 ‘Wymagania ogólne’.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04588F" w:rsidRPr="00561176" w:rsidRDefault="0004588F" w:rsidP="0004588F">
      <w:pPr>
        <w:pStyle w:val="Nagwek2"/>
        <w:rPr>
          <w:rFonts w:asciiTheme="minorHAnsi" w:hAnsiTheme="minorHAnsi" w:cstheme="minorHAnsi"/>
          <w:u w:val="single"/>
        </w:rPr>
      </w:pPr>
      <w:r w:rsidRPr="00561176">
        <w:rPr>
          <w:rFonts w:asciiTheme="minorHAnsi" w:hAnsiTheme="minorHAnsi" w:cstheme="minorHAnsi"/>
          <w:u w:val="single"/>
        </w:rPr>
        <w:t xml:space="preserve"> Ogólne wymagania dotyczące robót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04588F" w:rsidRPr="00561176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61176">
        <w:rPr>
          <w:rFonts w:asciiTheme="minorHAnsi" w:hAnsiTheme="minorHAnsi" w:cstheme="minorHAnsi"/>
          <w:spacing w:val="-3"/>
          <w:sz w:val="24"/>
          <w:szCs w:val="24"/>
        </w:rPr>
        <w:t>Wykonawca robót jest odpowiedzialny za jakość ich wykonania oraz za zgodność z Dokumentacją Projektową, ST i poleceniami Inżyniera.</w:t>
      </w:r>
    </w:p>
    <w:p w:rsidR="0004588F" w:rsidRPr="00561176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04588F" w:rsidRPr="00561176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61176">
        <w:rPr>
          <w:rFonts w:asciiTheme="minorHAnsi" w:hAnsiTheme="minorHAnsi" w:cstheme="minorHAnsi"/>
          <w:spacing w:val="-3"/>
          <w:sz w:val="24"/>
          <w:szCs w:val="24"/>
        </w:rPr>
        <w:t>Ogólne wymagania dotyczące jakości robót podano w ST D-M.00.00.00. „Wymagania Ogólne”.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04588F" w:rsidRPr="00561176" w:rsidRDefault="0004588F" w:rsidP="0004588F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561176">
        <w:rPr>
          <w:rFonts w:asciiTheme="minorHAnsi" w:hAnsiTheme="minorHAnsi" w:cstheme="minorHAnsi"/>
        </w:rPr>
        <w:t>Materiały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04588F" w:rsidRPr="00561176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61176">
        <w:rPr>
          <w:rFonts w:asciiTheme="minorHAnsi" w:hAnsiTheme="minorHAnsi" w:cstheme="minorHAnsi"/>
          <w:spacing w:val="-3"/>
          <w:sz w:val="24"/>
          <w:szCs w:val="24"/>
        </w:rPr>
        <w:t>Materiałem stosowanym przy wykonaniu skropienia wg zasad niniejszej ST jest: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04588F" w:rsidRPr="00561176" w:rsidRDefault="0004588F" w:rsidP="0004588F">
      <w:pPr>
        <w:pStyle w:val="Nagwek2"/>
        <w:rPr>
          <w:rFonts w:asciiTheme="minorHAnsi" w:hAnsiTheme="minorHAnsi" w:cstheme="minorHAnsi"/>
          <w:u w:val="single"/>
        </w:rPr>
      </w:pPr>
      <w:r w:rsidRPr="00561176">
        <w:rPr>
          <w:rFonts w:asciiTheme="minorHAnsi" w:hAnsiTheme="minorHAnsi" w:cstheme="minorHAnsi"/>
          <w:u w:val="single"/>
        </w:rPr>
        <w:t>Rodzaj materiału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04588F" w:rsidRPr="00561176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61176">
        <w:rPr>
          <w:rFonts w:asciiTheme="minorHAnsi" w:hAnsiTheme="minorHAnsi" w:cstheme="minorHAnsi"/>
          <w:spacing w:val="-3"/>
          <w:sz w:val="24"/>
          <w:szCs w:val="24"/>
        </w:rPr>
        <w:lastRenderedPageBreak/>
        <w:t>Do złączenia warstw konstrukcji nawierzchni należy stosować kationowe emulsje asfaltowe lub kationowe emulsje asfaltowe modyfikowane polimerami.</w:t>
      </w:r>
    </w:p>
    <w:p w:rsidR="0004588F" w:rsidRPr="00561176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61176">
        <w:rPr>
          <w:rFonts w:asciiTheme="minorHAnsi" w:hAnsiTheme="minorHAnsi" w:cstheme="minorHAnsi"/>
          <w:spacing w:val="-3"/>
          <w:sz w:val="24"/>
          <w:szCs w:val="24"/>
        </w:rPr>
        <w:t xml:space="preserve">Kationowe emulsje asfaltowe przeznaczone do łączenia warstw konstrukcji nawierzchni powinny spełniać wymagania określone w tablicy 1, </w:t>
      </w:r>
    </w:p>
    <w:p w:rsidR="0004588F" w:rsidRDefault="0004588F" w:rsidP="0004588F">
      <w:pPr>
        <w:jc w:val="center"/>
      </w:pPr>
    </w:p>
    <w:p w:rsidR="0004588F" w:rsidRPr="00720F89" w:rsidRDefault="0004588F" w:rsidP="0004588F">
      <w:pPr>
        <w:jc w:val="center"/>
      </w:pPr>
      <w:r w:rsidRPr="00720F89">
        <w:t>Tablica 1. Wymagania dotyczące kationowych emulsji asfaltowych stosowanych do złączenia warstw nawierzchni.</w:t>
      </w:r>
    </w:p>
    <w:tbl>
      <w:tblPr>
        <w:tblW w:w="9214" w:type="dxa"/>
        <w:tblInd w:w="-34" w:type="dxa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02"/>
        <w:gridCol w:w="1701"/>
        <w:gridCol w:w="1134"/>
        <w:gridCol w:w="992"/>
        <w:gridCol w:w="1701"/>
        <w:gridCol w:w="850"/>
        <w:gridCol w:w="1134"/>
      </w:tblGrid>
      <w:tr w:rsidR="0004588F" w:rsidRPr="00941AAD" w:rsidTr="005A2054">
        <w:trPr>
          <w:cantSplit/>
          <w:trHeight w:val="16"/>
        </w:trPr>
        <w:tc>
          <w:tcPr>
            <w:tcW w:w="1702" w:type="dxa"/>
            <w:vMerge w:val="restart"/>
            <w:shd w:val="clear" w:color="808080" w:fill="auto"/>
            <w:vAlign w:val="center"/>
          </w:tcPr>
          <w:p w:rsidR="0004588F" w:rsidRPr="00941AAD" w:rsidRDefault="0004588F" w:rsidP="005A2054">
            <w:pPr>
              <w:keepNext/>
              <w:spacing w:before="60"/>
              <w:ind w:firstLine="34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Wymagania techniczne</w:t>
            </w:r>
          </w:p>
        </w:tc>
        <w:tc>
          <w:tcPr>
            <w:tcW w:w="1701" w:type="dxa"/>
            <w:vMerge w:val="restart"/>
            <w:shd w:val="clear" w:color="808080" w:fill="auto"/>
            <w:vAlign w:val="center"/>
          </w:tcPr>
          <w:p w:rsidR="0004588F" w:rsidRPr="00941AAD" w:rsidRDefault="0004588F" w:rsidP="005A2054">
            <w:pPr>
              <w:keepNext/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Metoda badań wg normy</w:t>
            </w:r>
          </w:p>
        </w:tc>
        <w:tc>
          <w:tcPr>
            <w:tcW w:w="1134" w:type="dxa"/>
            <w:vMerge w:val="restart"/>
            <w:shd w:val="clear" w:color="808080" w:fill="auto"/>
            <w:vAlign w:val="center"/>
          </w:tcPr>
          <w:p w:rsidR="0004588F" w:rsidRPr="00941AAD" w:rsidRDefault="0004588F" w:rsidP="005A2054">
            <w:pPr>
              <w:keepNext/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Jednostka</w:t>
            </w:r>
          </w:p>
        </w:tc>
        <w:tc>
          <w:tcPr>
            <w:tcW w:w="2693" w:type="dxa"/>
            <w:gridSpan w:val="2"/>
            <w:shd w:val="clear" w:color="808080" w:fill="auto"/>
            <w:vAlign w:val="center"/>
          </w:tcPr>
          <w:p w:rsidR="0004588F" w:rsidRPr="00941AAD" w:rsidRDefault="0004588F" w:rsidP="005A2054">
            <w:pPr>
              <w:keepNext/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C60 B3 ZM lub C60 B4 ZM</w:t>
            </w:r>
          </w:p>
        </w:tc>
        <w:tc>
          <w:tcPr>
            <w:tcW w:w="1984" w:type="dxa"/>
            <w:gridSpan w:val="2"/>
            <w:shd w:val="clear" w:color="808080" w:fill="auto"/>
            <w:vAlign w:val="center"/>
          </w:tcPr>
          <w:p w:rsidR="0004588F" w:rsidRPr="00941AAD" w:rsidRDefault="0004588F" w:rsidP="005A2054">
            <w:pPr>
              <w:keepNext/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C60 B5 ZM</w:t>
            </w:r>
          </w:p>
        </w:tc>
      </w:tr>
      <w:tr w:rsidR="0004588F" w:rsidRPr="00941AAD" w:rsidTr="005A2054">
        <w:trPr>
          <w:cantSplit/>
          <w:trHeight w:val="178"/>
        </w:trPr>
        <w:tc>
          <w:tcPr>
            <w:tcW w:w="1702" w:type="dxa"/>
            <w:vMerge/>
            <w:shd w:val="clear" w:color="808080" w:fill="auto"/>
            <w:vAlign w:val="center"/>
          </w:tcPr>
          <w:p w:rsidR="0004588F" w:rsidRPr="00941AAD" w:rsidRDefault="0004588F" w:rsidP="005A2054">
            <w:pPr>
              <w:ind w:firstLine="34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shd w:val="clear" w:color="808080" w:fill="auto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808080" w:fill="auto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808080" w:fill="auto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Klasa</w:t>
            </w:r>
          </w:p>
        </w:tc>
        <w:tc>
          <w:tcPr>
            <w:tcW w:w="1701" w:type="dxa"/>
            <w:shd w:val="clear" w:color="808080" w:fill="auto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Zakres wartości</w:t>
            </w:r>
          </w:p>
        </w:tc>
        <w:tc>
          <w:tcPr>
            <w:tcW w:w="850" w:type="dxa"/>
            <w:shd w:val="clear" w:color="808080" w:fill="auto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Klasa</w:t>
            </w:r>
          </w:p>
        </w:tc>
        <w:tc>
          <w:tcPr>
            <w:tcW w:w="1134" w:type="dxa"/>
            <w:shd w:val="clear" w:color="808080" w:fill="auto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Zakres wartości</w:t>
            </w:r>
          </w:p>
        </w:tc>
      </w:tr>
      <w:tr w:rsidR="0004588F" w:rsidRPr="00941AAD" w:rsidTr="005A2054">
        <w:trPr>
          <w:cantSplit/>
          <w:trHeight w:val="537"/>
        </w:trPr>
        <w:tc>
          <w:tcPr>
            <w:tcW w:w="1702" w:type="dxa"/>
            <w:vAlign w:val="center"/>
          </w:tcPr>
          <w:p w:rsidR="0004588F" w:rsidRPr="00941AAD" w:rsidRDefault="0004588F" w:rsidP="005A2054">
            <w:pPr>
              <w:ind w:firstLine="34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Indeks rozpadu.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PN-EN 13075-1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3 lub 4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50 do 100 lub</w:t>
            </w:r>
          </w:p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70 do 130</w:t>
            </w:r>
          </w:p>
        </w:tc>
        <w:tc>
          <w:tcPr>
            <w:tcW w:w="850" w:type="dxa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120 do 180</w:t>
            </w:r>
          </w:p>
        </w:tc>
      </w:tr>
      <w:tr w:rsidR="0004588F" w:rsidRPr="00941AAD" w:rsidTr="005A2054">
        <w:trPr>
          <w:cantSplit/>
          <w:trHeight w:val="135"/>
        </w:trPr>
        <w:tc>
          <w:tcPr>
            <w:tcW w:w="1702" w:type="dxa"/>
            <w:vAlign w:val="center"/>
          </w:tcPr>
          <w:p w:rsidR="0004588F" w:rsidRPr="00941AAD" w:rsidRDefault="0004588F" w:rsidP="005A2054">
            <w:pPr>
              <w:spacing w:before="60"/>
              <w:ind w:firstLine="34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Zawartość lepiszcza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PN-EN 1428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%(m/m)</w:t>
            </w:r>
          </w:p>
        </w:tc>
        <w:tc>
          <w:tcPr>
            <w:tcW w:w="992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overflowPunct w:val="0"/>
              <w:autoSpaceDE w:val="0"/>
              <w:autoSpaceDN w:val="0"/>
              <w:adjustRightInd w:val="0"/>
              <w:spacing w:before="60"/>
              <w:ind w:left="142" w:firstLine="0"/>
              <w:jc w:val="center"/>
              <w:textAlignment w:val="baseline"/>
              <w:rPr>
                <w:sz w:val="20"/>
              </w:rPr>
            </w:pPr>
            <w:r w:rsidRPr="00941AAD">
              <w:rPr>
                <w:sz w:val="20"/>
              </w:rPr>
              <w:t>58 do 62</w:t>
            </w:r>
            <w:r w:rsidRPr="00941AAD">
              <w:rPr>
                <w:sz w:val="20"/>
                <w:vertAlign w:val="superscript"/>
              </w:rPr>
              <w:t>a)</w:t>
            </w:r>
          </w:p>
        </w:tc>
        <w:tc>
          <w:tcPr>
            <w:tcW w:w="850" w:type="dxa"/>
            <w:vAlign w:val="center"/>
          </w:tcPr>
          <w:p w:rsidR="0004588F" w:rsidRPr="00941AAD" w:rsidRDefault="0004588F" w:rsidP="005A2054">
            <w:pPr>
              <w:overflowPunct w:val="0"/>
              <w:autoSpaceDE w:val="0"/>
              <w:autoSpaceDN w:val="0"/>
              <w:adjustRightInd w:val="0"/>
              <w:spacing w:before="60"/>
              <w:ind w:left="142" w:firstLine="0"/>
              <w:jc w:val="center"/>
              <w:textAlignment w:val="baseline"/>
              <w:rPr>
                <w:sz w:val="20"/>
              </w:rPr>
            </w:pPr>
            <w:r w:rsidRPr="00941AAD">
              <w:rPr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58 62</w:t>
            </w:r>
            <w:r w:rsidRPr="00941AAD">
              <w:rPr>
                <w:sz w:val="20"/>
                <w:vertAlign w:val="superscript"/>
              </w:rPr>
              <w:t>a)</w:t>
            </w:r>
          </w:p>
        </w:tc>
      </w:tr>
      <w:tr w:rsidR="0004588F" w:rsidRPr="00941AAD" w:rsidTr="005A2054">
        <w:trPr>
          <w:cantSplit/>
          <w:trHeight w:val="238"/>
        </w:trPr>
        <w:tc>
          <w:tcPr>
            <w:tcW w:w="1702" w:type="dxa"/>
            <w:vAlign w:val="center"/>
          </w:tcPr>
          <w:p w:rsidR="0004588F" w:rsidRPr="00941AAD" w:rsidRDefault="0004588F" w:rsidP="005A2054">
            <w:pPr>
              <w:spacing w:before="60"/>
              <w:ind w:firstLine="34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Czas wypływu dla 2 mm w 40°C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PN-EN 12846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s</w:t>
            </w:r>
          </w:p>
        </w:tc>
        <w:tc>
          <w:tcPr>
            <w:tcW w:w="992" w:type="dxa"/>
            <w:vAlign w:val="center"/>
          </w:tcPr>
          <w:p w:rsidR="0004588F" w:rsidRPr="00941AAD" w:rsidRDefault="0004588F" w:rsidP="005A2054">
            <w:pPr>
              <w:overflowPunct w:val="0"/>
              <w:autoSpaceDE w:val="0"/>
              <w:autoSpaceDN w:val="0"/>
              <w:adjustRightInd w:val="0"/>
              <w:spacing w:before="60"/>
              <w:ind w:left="142" w:firstLine="0"/>
              <w:jc w:val="center"/>
              <w:textAlignment w:val="baseline"/>
              <w:rPr>
                <w:sz w:val="20"/>
              </w:rPr>
            </w:pPr>
            <w:r w:rsidRPr="00941AAD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proofErr w:type="spellStart"/>
            <w:r w:rsidRPr="00941AAD">
              <w:rPr>
                <w:sz w:val="20"/>
              </w:rPr>
              <w:t>TBR</w:t>
            </w:r>
            <w:r w:rsidRPr="00941AAD">
              <w:rPr>
                <w:sz w:val="20"/>
                <w:vertAlign w:val="superscript"/>
              </w:rPr>
              <w:t>b</w:t>
            </w:r>
            <w:proofErr w:type="spellEnd"/>
            <w:r w:rsidRPr="00941AAD">
              <w:rPr>
                <w:sz w:val="20"/>
                <w:vertAlign w:val="superscript"/>
              </w:rPr>
              <w:t>)</w:t>
            </w:r>
          </w:p>
        </w:tc>
        <w:tc>
          <w:tcPr>
            <w:tcW w:w="850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proofErr w:type="spellStart"/>
            <w:r w:rsidRPr="00941AAD">
              <w:rPr>
                <w:sz w:val="20"/>
              </w:rPr>
              <w:t>TBR</w:t>
            </w:r>
            <w:r w:rsidRPr="00941AAD">
              <w:rPr>
                <w:sz w:val="20"/>
                <w:vertAlign w:val="superscript"/>
              </w:rPr>
              <w:t>b</w:t>
            </w:r>
            <w:proofErr w:type="spellEnd"/>
            <w:r w:rsidRPr="00941AAD">
              <w:rPr>
                <w:sz w:val="20"/>
                <w:vertAlign w:val="superscript"/>
              </w:rPr>
              <w:t>)</w:t>
            </w:r>
          </w:p>
        </w:tc>
      </w:tr>
      <w:tr w:rsidR="0004588F" w:rsidRPr="00941AAD" w:rsidTr="005A2054">
        <w:trPr>
          <w:cantSplit/>
          <w:trHeight w:val="238"/>
        </w:trPr>
        <w:tc>
          <w:tcPr>
            <w:tcW w:w="1702" w:type="dxa"/>
            <w:vAlign w:val="center"/>
          </w:tcPr>
          <w:p w:rsidR="0004588F" w:rsidRPr="00941AAD" w:rsidRDefault="0004588F" w:rsidP="005A2054">
            <w:pPr>
              <w:spacing w:before="60"/>
              <w:ind w:firstLine="34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Pozostałość na sicie 0,5 mm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PN-EN 1429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%(m/m)</w:t>
            </w:r>
          </w:p>
        </w:tc>
        <w:tc>
          <w:tcPr>
            <w:tcW w:w="992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TBR</w:t>
            </w:r>
          </w:p>
        </w:tc>
        <w:tc>
          <w:tcPr>
            <w:tcW w:w="850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TBR</w:t>
            </w:r>
          </w:p>
        </w:tc>
      </w:tr>
      <w:tr w:rsidR="0004588F" w:rsidRPr="00941AAD" w:rsidTr="005A2054">
        <w:trPr>
          <w:cantSplit/>
          <w:trHeight w:val="250"/>
        </w:trPr>
        <w:tc>
          <w:tcPr>
            <w:tcW w:w="1702" w:type="dxa"/>
            <w:vAlign w:val="center"/>
          </w:tcPr>
          <w:p w:rsidR="0004588F" w:rsidRPr="00941AAD" w:rsidRDefault="0004588F" w:rsidP="005A2054">
            <w:pPr>
              <w:spacing w:before="60"/>
              <w:ind w:firstLine="34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Trwałość po 7 dniach magazynowania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PN-EN 1429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%(m/m)</w:t>
            </w:r>
          </w:p>
        </w:tc>
        <w:tc>
          <w:tcPr>
            <w:tcW w:w="992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TBR</w:t>
            </w:r>
          </w:p>
        </w:tc>
        <w:tc>
          <w:tcPr>
            <w:tcW w:w="850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TBR</w:t>
            </w:r>
          </w:p>
        </w:tc>
      </w:tr>
      <w:tr w:rsidR="0004588F" w:rsidRPr="00941AAD" w:rsidTr="005A2054">
        <w:trPr>
          <w:cantSplit/>
          <w:trHeight w:val="226"/>
        </w:trPr>
        <w:tc>
          <w:tcPr>
            <w:tcW w:w="1702" w:type="dxa"/>
            <w:vAlign w:val="center"/>
          </w:tcPr>
          <w:p w:rsidR="0004588F" w:rsidRPr="00941AAD" w:rsidRDefault="0004588F" w:rsidP="005A2054">
            <w:pPr>
              <w:spacing w:before="60"/>
              <w:ind w:firstLine="34"/>
              <w:jc w:val="center"/>
              <w:rPr>
                <w:sz w:val="20"/>
              </w:rPr>
            </w:pPr>
            <w:proofErr w:type="spellStart"/>
            <w:r w:rsidRPr="00941AAD">
              <w:rPr>
                <w:sz w:val="20"/>
              </w:rPr>
              <w:t>Sendymentacja</w:t>
            </w:r>
            <w:proofErr w:type="spellEnd"/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PN-EN 12847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%(m/m)</w:t>
            </w:r>
          </w:p>
        </w:tc>
        <w:tc>
          <w:tcPr>
            <w:tcW w:w="992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TBR</w:t>
            </w:r>
          </w:p>
        </w:tc>
        <w:tc>
          <w:tcPr>
            <w:tcW w:w="850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TBR</w:t>
            </w:r>
          </w:p>
        </w:tc>
      </w:tr>
      <w:tr w:rsidR="0004588F" w:rsidRPr="00941AAD" w:rsidTr="005A2054">
        <w:trPr>
          <w:cantSplit/>
          <w:trHeight w:val="226"/>
        </w:trPr>
        <w:tc>
          <w:tcPr>
            <w:tcW w:w="1702" w:type="dxa"/>
            <w:vMerge w:val="restart"/>
            <w:vAlign w:val="center"/>
          </w:tcPr>
          <w:p w:rsidR="0004588F" w:rsidRPr="00941AAD" w:rsidRDefault="0004588F" w:rsidP="005A2054">
            <w:pPr>
              <w:spacing w:before="60"/>
              <w:ind w:firstLine="34"/>
              <w:jc w:val="center"/>
              <w:rPr>
                <w:sz w:val="20"/>
              </w:rPr>
            </w:pPr>
            <w:proofErr w:type="spellStart"/>
            <w:r w:rsidRPr="00941AAD">
              <w:rPr>
                <w:sz w:val="20"/>
              </w:rPr>
              <w:t>Adhezja</w:t>
            </w:r>
            <w:r w:rsidRPr="00941AAD">
              <w:rPr>
                <w:sz w:val="20"/>
                <w:vertAlign w:val="superscript"/>
              </w:rPr>
              <w:t>c</w:t>
            </w:r>
            <w:proofErr w:type="spellEnd"/>
            <w:r w:rsidRPr="00941AAD">
              <w:rPr>
                <w:sz w:val="20"/>
                <w:vertAlign w:val="superscript"/>
              </w:rPr>
              <w:t>)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PN-EN 13614</w:t>
            </w:r>
          </w:p>
        </w:tc>
        <w:tc>
          <w:tcPr>
            <w:tcW w:w="1134" w:type="dxa"/>
            <w:vMerge w:val="restart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% pokrycia powierzchni</w:t>
            </w:r>
          </w:p>
        </w:tc>
        <w:tc>
          <w:tcPr>
            <w:tcW w:w="992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TBR</w:t>
            </w:r>
          </w:p>
        </w:tc>
        <w:tc>
          <w:tcPr>
            <w:tcW w:w="850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TBR</w:t>
            </w:r>
          </w:p>
        </w:tc>
      </w:tr>
      <w:tr w:rsidR="0004588F" w:rsidRPr="00941AAD" w:rsidTr="005A2054">
        <w:trPr>
          <w:cantSplit/>
          <w:trHeight w:val="226"/>
        </w:trPr>
        <w:tc>
          <w:tcPr>
            <w:tcW w:w="1702" w:type="dxa"/>
            <w:vMerge/>
            <w:vAlign w:val="center"/>
          </w:tcPr>
          <w:p w:rsidR="0004588F" w:rsidRPr="00941AAD" w:rsidRDefault="0004588F" w:rsidP="005A2054">
            <w:pPr>
              <w:spacing w:before="6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WT-3 załącznik 2</w:t>
            </w:r>
          </w:p>
        </w:tc>
        <w:tc>
          <w:tcPr>
            <w:tcW w:w="1134" w:type="dxa"/>
            <w:vMerge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≥ 75</w:t>
            </w:r>
          </w:p>
        </w:tc>
        <w:tc>
          <w:tcPr>
            <w:tcW w:w="850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≥ 75</w:t>
            </w:r>
          </w:p>
        </w:tc>
      </w:tr>
      <w:tr w:rsidR="0004588F" w:rsidRPr="00941AAD" w:rsidTr="005A2054">
        <w:trPr>
          <w:cantSplit/>
          <w:trHeight w:val="238"/>
        </w:trPr>
        <w:tc>
          <w:tcPr>
            <w:tcW w:w="1702" w:type="dxa"/>
            <w:vAlign w:val="center"/>
          </w:tcPr>
          <w:p w:rsidR="0004588F" w:rsidRPr="00941AAD" w:rsidRDefault="0004588F" w:rsidP="005A2054">
            <w:pPr>
              <w:spacing w:before="60"/>
              <w:jc w:val="center"/>
              <w:rPr>
                <w:sz w:val="20"/>
              </w:rPr>
            </w:pPr>
            <w:proofErr w:type="spellStart"/>
            <w:r w:rsidRPr="00941AAD">
              <w:rPr>
                <w:sz w:val="20"/>
              </w:rPr>
              <w:t>Ph</w:t>
            </w:r>
            <w:proofErr w:type="spellEnd"/>
            <w:r w:rsidRPr="00941AAD">
              <w:rPr>
                <w:sz w:val="20"/>
              </w:rPr>
              <w:t xml:space="preserve"> emulsji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PN-EN 12850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04588F" w:rsidRPr="00941AAD" w:rsidRDefault="0004588F" w:rsidP="005A2054">
            <w:pPr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≥ 3,5</w:t>
            </w:r>
            <w:r w:rsidRPr="00941AAD">
              <w:rPr>
                <w:sz w:val="20"/>
                <w:vertAlign w:val="superscript"/>
              </w:rPr>
              <w:t>d)</w:t>
            </w:r>
          </w:p>
        </w:tc>
        <w:tc>
          <w:tcPr>
            <w:tcW w:w="850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≥ 3,5</w:t>
            </w:r>
            <w:r w:rsidRPr="00941AAD">
              <w:rPr>
                <w:sz w:val="20"/>
                <w:vertAlign w:val="superscript"/>
              </w:rPr>
              <w:t>d)</w:t>
            </w:r>
          </w:p>
        </w:tc>
      </w:tr>
      <w:tr w:rsidR="0004588F" w:rsidRPr="00941AAD" w:rsidTr="005A2054">
        <w:trPr>
          <w:cantSplit/>
          <w:trHeight w:val="238"/>
        </w:trPr>
        <w:tc>
          <w:tcPr>
            <w:tcW w:w="9214" w:type="dxa"/>
            <w:gridSpan w:val="7"/>
            <w:vAlign w:val="center"/>
          </w:tcPr>
          <w:p w:rsidR="0004588F" w:rsidRPr="00941AAD" w:rsidRDefault="0004588F" w:rsidP="005A2054">
            <w:pPr>
              <w:spacing w:before="6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 xml:space="preserve">Wymagania dotyczące lepiszczy odzyskanych z kationowych </w:t>
            </w:r>
            <w:proofErr w:type="spellStart"/>
            <w:r w:rsidRPr="00941AAD">
              <w:rPr>
                <w:sz w:val="20"/>
              </w:rPr>
              <w:t>emusji</w:t>
            </w:r>
            <w:proofErr w:type="spellEnd"/>
            <w:r w:rsidRPr="00941AAD">
              <w:rPr>
                <w:sz w:val="20"/>
              </w:rPr>
              <w:t xml:space="preserve"> asfaltowych przez odparowanie zgodnie z PN-EN 13074</w:t>
            </w:r>
          </w:p>
        </w:tc>
      </w:tr>
      <w:tr w:rsidR="0004588F" w:rsidRPr="00941AAD" w:rsidTr="005A2054">
        <w:trPr>
          <w:cantSplit/>
          <w:trHeight w:val="238"/>
        </w:trPr>
        <w:tc>
          <w:tcPr>
            <w:tcW w:w="1702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Penetracja w 25°C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PN-EN 1426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ind w:firstLine="33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0,1 mm</w:t>
            </w:r>
          </w:p>
        </w:tc>
        <w:tc>
          <w:tcPr>
            <w:tcW w:w="992" w:type="dxa"/>
            <w:vAlign w:val="center"/>
          </w:tcPr>
          <w:p w:rsidR="0004588F" w:rsidRPr="00941AAD" w:rsidRDefault="0004588F" w:rsidP="005A2054">
            <w:pPr>
              <w:ind w:firstLine="33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≤ 100</w:t>
            </w:r>
            <w:r w:rsidRPr="00941AAD">
              <w:rPr>
                <w:sz w:val="20"/>
                <w:vertAlign w:val="superscript"/>
              </w:rPr>
              <w:t>e)</w:t>
            </w:r>
          </w:p>
        </w:tc>
        <w:tc>
          <w:tcPr>
            <w:tcW w:w="850" w:type="dxa"/>
            <w:vAlign w:val="center"/>
          </w:tcPr>
          <w:p w:rsidR="0004588F" w:rsidRPr="00941AAD" w:rsidRDefault="0004588F" w:rsidP="005A2054">
            <w:pPr>
              <w:spacing w:before="6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04588F" w:rsidRPr="00941AAD" w:rsidRDefault="0004588F" w:rsidP="005A2054">
            <w:pPr>
              <w:spacing w:before="60"/>
              <w:ind w:firstLine="0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≤ 100</w:t>
            </w:r>
            <w:r w:rsidRPr="00941AAD">
              <w:rPr>
                <w:sz w:val="20"/>
                <w:vertAlign w:val="superscript"/>
              </w:rPr>
              <w:t>e</w:t>
            </w:r>
          </w:p>
        </w:tc>
      </w:tr>
      <w:tr w:rsidR="0004588F" w:rsidRPr="00941AAD" w:rsidTr="005A2054">
        <w:trPr>
          <w:cantSplit/>
          <w:trHeight w:val="238"/>
        </w:trPr>
        <w:tc>
          <w:tcPr>
            <w:tcW w:w="9214" w:type="dxa"/>
            <w:gridSpan w:val="7"/>
            <w:vAlign w:val="center"/>
          </w:tcPr>
          <w:p w:rsidR="0004588F" w:rsidRPr="00941AAD" w:rsidRDefault="0004588F" w:rsidP="0004588F">
            <w:pPr>
              <w:widowControl w:val="0"/>
              <w:numPr>
                <w:ilvl w:val="0"/>
                <w:numId w:val="3"/>
              </w:numPr>
              <w:spacing w:before="60" w:line="240" w:lineRule="auto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Emulsję można rozcieńczać wodą, do stężenia asfaltu nie niższego niż 40 % (m/m).</w:t>
            </w:r>
          </w:p>
          <w:p w:rsidR="0004588F" w:rsidRPr="00941AAD" w:rsidRDefault="0004588F" w:rsidP="0004588F">
            <w:pPr>
              <w:widowControl w:val="0"/>
              <w:numPr>
                <w:ilvl w:val="0"/>
                <w:numId w:val="3"/>
              </w:numPr>
              <w:spacing w:before="60" w:line="240" w:lineRule="auto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Nie dotyczy emulsji rozcieńczanych wodą na budowie.</w:t>
            </w:r>
          </w:p>
          <w:p w:rsidR="0004588F" w:rsidRPr="00941AAD" w:rsidRDefault="0004588F" w:rsidP="0004588F">
            <w:pPr>
              <w:widowControl w:val="0"/>
              <w:numPr>
                <w:ilvl w:val="0"/>
                <w:numId w:val="3"/>
              </w:numPr>
              <w:spacing w:before="60" w:line="240" w:lineRule="auto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Oznaczenie jest wymagane, gdy emulsja ma bezpośredni kontakt z kruszywem.</w:t>
            </w:r>
          </w:p>
          <w:p w:rsidR="0004588F" w:rsidRPr="00941AAD" w:rsidRDefault="0004588F" w:rsidP="0004588F">
            <w:pPr>
              <w:widowControl w:val="0"/>
              <w:numPr>
                <w:ilvl w:val="0"/>
                <w:numId w:val="3"/>
              </w:numPr>
              <w:spacing w:before="60" w:line="240" w:lineRule="auto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Dotyczy emulsji przeznaczonej do związania warstwy asfaltowej z podbudową zawierającą spoiwo hydrauliczne,</w:t>
            </w:r>
          </w:p>
          <w:p w:rsidR="0004588F" w:rsidRPr="00941AAD" w:rsidRDefault="0004588F" w:rsidP="0004588F">
            <w:pPr>
              <w:widowControl w:val="0"/>
              <w:numPr>
                <w:ilvl w:val="0"/>
                <w:numId w:val="3"/>
              </w:numPr>
              <w:spacing w:before="60" w:line="240" w:lineRule="auto"/>
              <w:jc w:val="center"/>
              <w:rPr>
                <w:sz w:val="20"/>
              </w:rPr>
            </w:pPr>
            <w:r w:rsidRPr="00941AAD">
              <w:rPr>
                <w:sz w:val="20"/>
              </w:rPr>
              <w:t>Do skropień podbudów niezwiązanych, w szczególności z kruszywa stabilizowanego mechanicznie lub tłucznia kamiennego, dopuszcza się stosowanie emulsji wyprodukowanych z asfaltu drogowego o penetracji 160/220.</w:t>
            </w:r>
          </w:p>
        </w:tc>
      </w:tr>
    </w:tbl>
    <w:p w:rsidR="0004588F" w:rsidRPr="009537D8" w:rsidRDefault="0004588F" w:rsidP="0004588F">
      <w:pPr>
        <w:rPr>
          <w:b/>
          <w:bCs/>
        </w:rPr>
      </w:pPr>
    </w:p>
    <w:p w:rsidR="0004588F" w:rsidRPr="001B2461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i/>
          <w:snapToGrid w:val="0"/>
          <w:sz w:val="26"/>
          <w:szCs w:val="26"/>
        </w:rPr>
      </w:pPr>
      <w:r w:rsidRPr="001B2461">
        <w:rPr>
          <w:rFonts w:asciiTheme="minorHAnsi" w:hAnsiTheme="minorHAnsi" w:cstheme="minorHAnsi"/>
          <w:i/>
          <w:snapToGrid w:val="0"/>
          <w:sz w:val="26"/>
          <w:szCs w:val="26"/>
        </w:rPr>
        <w:lastRenderedPageBreak/>
        <w:t xml:space="preserve">2.2. </w:t>
      </w:r>
      <w:r w:rsidRPr="001B2461">
        <w:rPr>
          <w:rFonts w:asciiTheme="minorHAnsi" w:hAnsiTheme="minorHAnsi" w:cstheme="minorHAnsi"/>
          <w:i/>
          <w:sz w:val="26"/>
          <w:szCs w:val="26"/>
          <w:u w:val="single"/>
        </w:rPr>
        <w:t>Składowanie emulsji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Maksymalny czas, temperaturę oraz sposób składowania emulsji, po którym nie traci ona swoich parametrów jakościowych powinny być zgodne z warunkami określonymi przez Producenta.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Zaleca się jednak, aby okres przechowywania emulsji nie przekraczał dwóch tygodni od daty produkcji.</w:t>
      </w:r>
    </w:p>
    <w:p w:rsidR="0004588F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Stosowana emulsja musi posiadać Aprobatę Techniczną.</w:t>
      </w:r>
    </w:p>
    <w:p w:rsidR="0004588F" w:rsidRPr="001B2461" w:rsidRDefault="0004588F" w:rsidP="0004588F"/>
    <w:p w:rsidR="0004588F" w:rsidRPr="001B2461" w:rsidRDefault="0004588F" w:rsidP="0004588F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>Sprzęt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  <w:sz w:val="20"/>
        </w:rPr>
      </w:pP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Przy wykonywaniu robót, Wykonawca powinien dysponować następującym sprzętem: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04588F" w:rsidRPr="001B2461" w:rsidRDefault="0004588F" w:rsidP="0004588F">
      <w:pPr>
        <w:pStyle w:val="Nagwek2"/>
        <w:numPr>
          <w:ilvl w:val="0"/>
          <w:numId w:val="5"/>
        </w:numPr>
        <w:tabs>
          <w:tab w:val="left" w:pos="-720"/>
        </w:tabs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cysternami samochodowymi lub samochodami do przewozu emulsji w beczkach,</w:t>
      </w:r>
    </w:p>
    <w:p w:rsidR="0004588F" w:rsidRPr="001B2461" w:rsidRDefault="0004588F" w:rsidP="0004588F">
      <w:pPr>
        <w:pStyle w:val="Nagwek2"/>
        <w:numPr>
          <w:ilvl w:val="0"/>
          <w:numId w:val="5"/>
        </w:numPr>
        <w:tabs>
          <w:tab w:val="left" w:pos="-720"/>
        </w:tabs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rampa rozpryskowa emulsji do rozkładarki, zamontowana tuz przed ślimakiem rozkładarki,</w:t>
      </w:r>
    </w:p>
    <w:p w:rsidR="0004588F" w:rsidRPr="001B2461" w:rsidRDefault="0004588F" w:rsidP="0004588F">
      <w:pPr>
        <w:pStyle w:val="Nagwek2"/>
        <w:numPr>
          <w:ilvl w:val="0"/>
          <w:numId w:val="5"/>
        </w:numPr>
        <w:tabs>
          <w:tab w:val="left" w:pos="-720"/>
        </w:tabs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szczotkami mechanicznymi i kompresorem.</w:t>
      </w:r>
    </w:p>
    <w:p w:rsidR="0004588F" w:rsidRDefault="0004588F" w:rsidP="0004588F">
      <w:pPr>
        <w:pStyle w:val="Tekstpodstawowy"/>
        <w:tabs>
          <w:tab w:val="left" w:pos="425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04588F" w:rsidRPr="001B2461" w:rsidRDefault="0004588F" w:rsidP="0004588F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>Transport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  <w:sz w:val="20"/>
        </w:rPr>
      </w:pP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Emulsje na budowę należy przewozić w samochodach. Cysterny winny być podzielone przegrodami na komory o pojemności nie większej niż 1 m3, a każda przegroda powinna mieć wykroje umożliwiające przepływ emulsji. Cysterna używana do transportu emulsji nie może być używana do przewozu innych lepiszczy.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Dopuszcza się stosowanie beczek lub innych pojemników stalowych, które na skrzyni ładunkowej powinny być ustawione, równomiernie na całej powierzchni i zabezpieczone przed możliwością przesuwania się podczas transportu.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  <w:sz w:val="20"/>
        </w:rPr>
      </w:pPr>
    </w:p>
    <w:p w:rsidR="0004588F" w:rsidRPr="001B2461" w:rsidRDefault="0004588F" w:rsidP="0004588F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>Wykonanie robót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  <w:sz w:val="20"/>
        </w:rPr>
      </w:pPr>
    </w:p>
    <w:p w:rsidR="0004588F" w:rsidRPr="001B2461" w:rsidRDefault="0004588F" w:rsidP="0004588F">
      <w:pPr>
        <w:pStyle w:val="Nagwek2"/>
        <w:rPr>
          <w:rFonts w:asciiTheme="minorHAnsi" w:hAnsiTheme="minorHAnsi" w:cstheme="minorHAnsi"/>
          <w:u w:val="single"/>
        </w:rPr>
      </w:pPr>
      <w:r w:rsidRPr="001B2461">
        <w:rPr>
          <w:rFonts w:asciiTheme="minorHAnsi" w:hAnsiTheme="minorHAnsi" w:cstheme="minorHAnsi"/>
          <w:u w:val="single"/>
        </w:rPr>
        <w:t>Ogólne warunki wykonania robót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Ogólne warunki wykonania robót podano w ST D-M.00.00.00 „Wymagania ogólne”.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  <w:sz w:val="20"/>
        </w:rPr>
      </w:pPr>
    </w:p>
    <w:p w:rsidR="0004588F" w:rsidRPr="001B2461" w:rsidRDefault="0004588F" w:rsidP="0004588F">
      <w:pPr>
        <w:pStyle w:val="Nagwek2"/>
        <w:rPr>
          <w:rFonts w:asciiTheme="minorHAnsi" w:hAnsiTheme="minorHAnsi" w:cstheme="minorHAnsi"/>
          <w:u w:val="single"/>
        </w:rPr>
      </w:pPr>
      <w:r w:rsidRPr="001B2461">
        <w:rPr>
          <w:rFonts w:asciiTheme="minorHAnsi" w:hAnsiTheme="minorHAnsi" w:cstheme="minorHAnsi"/>
          <w:u w:val="single"/>
        </w:rPr>
        <w:t xml:space="preserve"> Zakres wykonywanych robót</w:t>
      </w:r>
    </w:p>
    <w:p w:rsidR="0004588F" w:rsidRPr="001B2461" w:rsidRDefault="0004588F" w:rsidP="0004588F">
      <w:pPr>
        <w:pStyle w:val="Nagwek3"/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>Oczyszczenie powierzchni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Powierzchnie warstw konstrukcyjnych nawierzchni, przed ułożeniem następnej warstwy powinna zostać oczyszczona z luźnego kruszywa i pyłu. Operację tę należy wykonać przy użyciu szczotki mechanicznej lup kompresora. Powierzchnia przed skropieniem powinna być sucha i czysta.</w:t>
      </w:r>
    </w:p>
    <w:p w:rsidR="0004588F" w:rsidRDefault="0004588F" w:rsidP="0004588F">
      <w:pPr>
        <w:pStyle w:val="Tekstpodstawowy"/>
        <w:tabs>
          <w:tab w:val="left" w:pos="425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425"/>
        <w:rPr>
          <w:snapToGrid w:val="0"/>
        </w:rPr>
      </w:pPr>
    </w:p>
    <w:p w:rsidR="0004588F" w:rsidRPr="001B2461" w:rsidRDefault="0004588F" w:rsidP="0004588F">
      <w:pPr>
        <w:pStyle w:val="Nagwek3"/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lastRenderedPageBreak/>
        <w:t>Skropienie bądź zagruntowanie powierzchni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Do skropienia należy zastosować emulsję o temperaturze 20 – 40oC (w razie potrzeby emulsję należy podgrzać do temperatury zapewniającej wymaganą lepkość). Zalecana ilość asfaltu w kg/m2 po odparowaniu wody z emulsji wynosi dla różnych rodzajów warstw: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podbudowa z kruszywa łamanego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ab/>
      </w:r>
      <w:r w:rsidR="00963384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 xml:space="preserve">-0,5 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sym w:font="Symbol" w:char="F0B8"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 xml:space="preserve"> 0,7,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podbudowa z betonu asfaltowego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ab/>
      </w:r>
      <w:r w:rsidR="00963384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 xml:space="preserve">-0,3 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sym w:font="Symbol" w:char="F0B8"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 xml:space="preserve"> 0,5,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warstwa wiążąca z betonu asfaltowego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ab/>
        <w:t xml:space="preserve">-0,1 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sym w:font="Symbol" w:char="F0B8"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 xml:space="preserve"> 0,3.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Powierzchnia powinna być skropiona emulsją asfaltową z wyprzedzeniem w czasie na penetrację lepiszcza w warstwę i odparowanie wody. Orientacyjny czas powinien wynosić co najmniej;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 xml:space="preserve">0,5 godziny w przypadku stosowania 0,2 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sym w:font="Symbol" w:char="F0B8"/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 xml:space="preserve"> 0,5 kg/m2 emulsji. 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ab/>
        <w:t>Nie dotyczy to powierzchni skrapianej układarką wyposażoną w rampę skrapiającą.</w:t>
      </w:r>
    </w:p>
    <w:p w:rsidR="0004588F" w:rsidRDefault="0004588F" w:rsidP="0004588F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04588F" w:rsidRPr="001B2461" w:rsidRDefault="0004588F" w:rsidP="0004588F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>Kontrola jakości robót</w:t>
      </w:r>
    </w:p>
    <w:p w:rsidR="0004588F" w:rsidRDefault="0004588F" w:rsidP="0004588F">
      <w:pPr>
        <w:tabs>
          <w:tab w:val="left" w:pos="426"/>
        </w:tabs>
      </w:pPr>
    </w:p>
    <w:p w:rsidR="0004588F" w:rsidRPr="001B2461" w:rsidRDefault="0004588F" w:rsidP="0004588F">
      <w:pPr>
        <w:pStyle w:val="Nagwek2"/>
        <w:rPr>
          <w:rFonts w:asciiTheme="minorHAnsi" w:hAnsiTheme="minorHAnsi" w:cstheme="minorHAnsi"/>
          <w:u w:val="single"/>
        </w:rPr>
      </w:pPr>
      <w:r w:rsidRPr="001B2461">
        <w:rPr>
          <w:rFonts w:asciiTheme="minorHAnsi" w:hAnsiTheme="minorHAnsi" w:cstheme="minorHAnsi"/>
          <w:u w:val="single"/>
        </w:rPr>
        <w:t xml:space="preserve"> Ogólne zasady kontroli jakości robót</w:t>
      </w:r>
    </w:p>
    <w:p w:rsidR="0004588F" w:rsidRDefault="0004588F" w:rsidP="0004588F">
      <w:pPr>
        <w:tabs>
          <w:tab w:val="left" w:pos="426"/>
        </w:tabs>
        <w:spacing w:line="240" w:lineRule="auto"/>
        <w:rPr>
          <w:rFonts w:asciiTheme="minorHAnsi" w:hAnsiTheme="minorHAnsi" w:cstheme="minorHAnsi"/>
          <w:spacing w:val="-3"/>
        </w:rPr>
      </w:pPr>
      <w:r w:rsidRPr="001B2461">
        <w:rPr>
          <w:rFonts w:asciiTheme="minorHAnsi" w:hAnsiTheme="minorHAnsi" w:cstheme="minorHAnsi"/>
          <w:spacing w:val="-3"/>
        </w:rPr>
        <w:t>Ogólna zasada kontroli jakości robót podano w ST D-M.00.00.00. „Wymagania ogólne”</w:t>
      </w:r>
    </w:p>
    <w:p w:rsidR="0004588F" w:rsidRPr="001B2461" w:rsidRDefault="0004588F" w:rsidP="0004588F">
      <w:pPr>
        <w:tabs>
          <w:tab w:val="left" w:pos="426"/>
        </w:tabs>
        <w:spacing w:line="240" w:lineRule="auto"/>
        <w:rPr>
          <w:rFonts w:asciiTheme="minorHAnsi" w:hAnsiTheme="minorHAnsi" w:cstheme="minorHAnsi"/>
          <w:spacing w:val="-3"/>
        </w:rPr>
      </w:pPr>
    </w:p>
    <w:p w:rsidR="0004588F" w:rsidRPr="001B2461" w:rsidRDefault="0004588F" w:rsidP="0004588F">
      <w:pPr>
        <w:pStyle w:val="Nagwek2"/>
        <w:rPr>
          <w:rFonts w:asciiTheme="minorHAnsi" w:hAnsiTheme="minorHAnsi" w:cstheme="minorHAnsi"/>
          <w:u w:val="single"/>
        </w:rPr>
      </w:pPr>
      <w:r w:rsidRPr="001B2461">
        <w:rPr>
          <w:rFonts w:asciiTheme="minorHAnsi" w:hAnsiTheme="minorHAnsi" w:cstheme="minorHAnsi"/>
          <w:u w:val="single"/>
        </w:rPr>
        <w:t>Kontrole i badania przed przystąpieniem do robót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Przed przystąpieniem do robót Wykonawca powinien przeprowadzać próbne skropienie w celu określenia optymalnych parametrów pracy skrapiarki i określenia wymaganej ilości lepiszcza w zależności od rodzaju i stanu warstwy przewidzianej do skropienia.</w:t>
      </w:r>
    </w:p>
    <w:p w:rsidR="0004588F" w:rsidRDefault="0004588F" w:rsidP="0004588F">
      <w:pPr>
        <w:ind w:left="360"/>
      </w:pPr>
    </w:p>
    <w:p w:rsidR="0004588F" w:rsidRPr="001B2461" w:rsidRDefault="0004588F" w:rsidP="0004588F">
      <w:pPr>
        <w:pStyle w:val="Nagwek2"/>
        <w:rPr>
          <w:rFonts w:asciiTheme="minorHAnsi" w:hAnsiTheme="minorHAnsi" w:cstheme="minorHAnsi"/>
          <w:u w:val="single"/>
        </w:rPr>
      </w:pPr>
      <w:r w:rsidRPr="001B2461">
        <w:rPr>
          <w:rFonts w:asciiTheme="minorHAnsi" w:hAnsiTheme="minorHAnsi" w:cstheme="minorHAnsi"/>
          <w:u w:val="single"/>
        </w:rPr>
        <w:t>Kontrole i badania w trakcie wykonywania robót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Jednorodność skropienia powinna być sprawdzana wizualnie. Należy przeprowadzić kontrolę ilości rozkładanego lepiszcza na odcinku próbnym wg metody podanej w opracowaniu „Powierzchniowe utrwalenia. Oznaczenie ilości rozkładanego lepiszcza i kruszywa’’.</w:t>
      </w:r>
    </w:p>
    <w:p w:rsidR="0004588F" w:rsidRDefault="0004588F" w:rsidP="0004588F"/>
    <w:p w:rsidR="0004588F" w:rsidRPr="001B2461" w:rsidRDefault="0004588F" w:rsidP="0004588F">
      <w:pPr>
        <w:pStyle w:val="Nagwek2"/>
        <w:rPr>
          <w:rFonts w:asciiTheme="minorHAnsi" w:hAnsiTheme="minorHAnsi" w:cstheme="minorHAnsi"/>
          <w:u w:val="single"/>
        </w:rPr>
      </w:pPr>
      <w:r w:rsidRPr="001B2461">
        <w:rPr>
          <w:rFonts w:asciiTheme="minorHAnsi" w:hAnsiTheme="minorHAnsi" w:cstheme="minorHAnsi"/>
          <w:u w:val="single"/>
        </w:rPr>
        <w:t>Badania sprawdzające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Laboratorium Inżyniera będzie prowadziła badania sprawdzające z częstotliwością określoną przez Inżyniera.</w:t>
      </w:r>
    </w:p>
    <w:p w:rsidR="0004588F" w:rsidRDefault="0004588F" w:rsidP="0004588F">
      <w:pPr>
        <w:tabs>
          <w:tab w:val="left" w:pos="426"/>
        </w:tabs>
      </w:pPr>
    </w:p>
    <w:p w:rsidR="00963384" w:rsidRDefault="00963384" w:rsidP="0004588F">
      <w:pPr>
        <w:tabs>
          <w:tab w:val="left" w:pos="426"/>
        </w:tabs>
      </w:pPr>
    </w:p>
    <w:p w:rsidR="00963384" w:rsidRDefault="00963384" w:rsidP="0004588F">
      <w:pPr>
        <w:tabs>
          <w:tab w:val="left" w:pos="426"/>
        </w:tabs>
      </w:pPr>
    </w:p>
    <w:p w:rsidR="00963384" w:rsidRDefault="00963384" w:rsidP="0004588F">
      <w:pPr>
        <w:tabs>
          <w:tab w:val="left" w:pos="426"/>
        </w:tabs>
      </w:pPr>
    </w:p>
    <w:p w:rsidR="0004588F" w:rsidRPr="001B2461" w:rsidRDefault="0004588F" w:rsidP="0004588F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lastRenderedPageBreak/>
        <w:t>Obmiar robót</w:t>
      </w:r>
    </w:p>
    <w:p w:rsidR="0004588F" w:rsidRDefault="0004588F" w:rsidP="0004588F">
      <w:pPr>
        <w:tabs>
          <w:tab w:val="left" w:pos="426"/>
        </w:tabs>
      </w:pP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 xml:space="preserve">Jednostką obmiaru robót jest 1 m2 (metr kwadratowy) powierzchni nawierzchni oczyszczonej i skropionej. 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Ogólne zasady obmiaru robót podano w ST D-M.00.00.00. „ Wymagania ogólne”.</w:t>
      </w:r>
    </w:p>
    <w:p w:rsidR="0004588F" w:rsidRDefault="0004588F" w:rsidP="0004588F">
      <w:pPr>
        <w:tabs>
          <w:tab w:val="left" w:pos="426"/>
        </w:tabs>
      </w:pPr>
    </w:p>
    <w:p w:rsidR="0004588F" w:rsidRPr="001B2461" w:rsidRDefault="0004588F" w:rsidP="0004588F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>Odbiór robót</w:t>
      </w:r>
    </w:p>
    <w:p w:rsidR="0004588F" w:rsidRDefault="0004588F" w:rsidP="0004588F">
      <w:pPr>
        <w:tabs>
          <w:tab w:val="left" w:pos="426"/>
        </w:tabs>
      </w:pP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 xml:space="preserve">Ogólne zasady dotyczące odbioru robót podano w ST D-M.00.00.00. „Wymagania ogólne”. </w:t>
      </w:r>
    </w:p>
    <w:p w:rsidR="0004588F" w:rsidRDefault="0004588F" w:rsidP="0004588F">
      <w:pPr>
        <w:tabs>
          <w:tab w:val="left" w:pos="426"/>
        </w:tabs>
      </w:pPr>
    </w:p>
    <w:p w:rsidR="0004588F" w:rsidRPr="001B2461" w:rsidRDefault="0004588F" w:rsidP="0004588F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>Podstawa płatności</w:t>
      </w:r>
    </w:p>
    <w:p w:rsidR="0004588F" w:rsidRDefault="0004588F" w:rsidP="0004588F">
      <w:pPr>
        <w:tabs>
          <w:tab w:val="left" w:pos="426"/>
        </w:tabs>
      </w:pP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Ogólne wymagania dotyczące płatności podano w ST D-M.00.00.00 „Wymagania ogólne”.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B2461">
        <w:rPr>
          <w:rFonts w:asciiTheme="minorHAnsi" w:hAnsiTheme="minorHAnsi" w:cstheme="minorHAnsi"/>
          <w:spacing w:val="-3"/>
          <w:sz w:val="24"/>
          <w:szCs w:val="24"/>
        </w:rPr>
        <w:t>Cena jednostkowa wykonywania robót obejmuje: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>wykonanie robót pomiarowych i przygotowawczych,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>dostarczenie lepiszcza na budowę,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>ręczne odspojenie stwardniałych zanieczyszczeń,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>oczyszczenie i skropienie poszczególnych warstw,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>posypanie kruszywem drobnym skropionych warstw z kruszywa stabilizowanego cementem,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>przeprowadzenie niezbędnych badań laboratoryjnych i pomiarów wymaganych w specyfikacji,</w:t>
      </w:r>
    </w:p>
    <w:p w:rsidR="0004588F" w:rsidRPr="001B2461" w:rsidRDefault="0004588F" w:rsidP="0004588F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1B2461">
        <w:rPr>
          <w:rFonts w:asciiTheme="minorHAnsi" w:hAnsiTheme="minorHAnsi" w:cstheme="minorHAnsi"/>
          <w:spacing w:val="-3"/>
          <w:sz w:val="24"/>
          <w:szCs w:val="24"/>
        </w:rPr>
        <w:t>uporządkowanie miejsca prowadzonych robót.</w:t>
      </w:r>
    </w:p>
    <w:p w:rsidR="0004588F" w:rsidRDefault="0004588F" w:rsidP="0004588F">
      <w:pPr>
        <w:tabs>
          <w:tab w:val="left" w:pos="426"/>
        </w:tabs>
      </w:pPr>
    </w:p>
    <w:p w:rsidR="0004588F" w:rsidRPr="001B2461" w:rsidRDefault="0004588F" w:rsidP="0004588F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>Przepisy związane</w:t>
      </w:r>
    </w:p>
    <w:p w:rsidR="0004588F" w:rsidRDefault="0004588F" w:rsidP="0004588F">
      <w:pPr>
        <w:rPr>
          <w:b/>
          <w:sz w:val="28"/>
        </w:rPr>
      </w:pPr>
    </w:p>
    <w:p w:rsidR="0004588F" w:rsidRPr="001B2461" w:rsidRDefault="0004588F" w:rsidP="00963384">
      <w:pPr>
        <w:tabs>
          <w:tab w:val="left" w:pos="426"/>
        </w:tabs>
        <w:ind w:firstLine="0"/>
        <w:rPr>
          <w:rFonts w:asciiTheme="minorHAnsi" w:hAnsiTheme="minorHAnsi" w:cstheme="minorHAnsi"/>
        </w:rPr>
      </w:pPr>
      <w:r>
        <w:tab/>
      </w:r>
      <w:r w:rsidRPr="001B2461">
        <w:rPr>
          <w:rFonts w:asciiTheme="minorHAnsi" w:hAnsiTheme="minorHAnsi" w:cstheme="minorHAnsi"/>
        </w:rPr>
        <w:t>PN-EN 1426</w:t>
      </w:r>
      <w:r w:rsidRPr="001B2461">
        <w:rPr>
          <w:rFonts w:asciiTheme="minorHAnsi" w:hAnsiTheme="minorHAnsi" w:cstheme="minorHAnsi"/>
        </w:rPr>
        <w:tab/>
      </w:r>
      <w:r w:rsidR="00963384">
        <w:rPr>
          <w:rFonts w:asciiTheme="minorHAnsi" w:hAnsiTheme="minorHAnsi" w:cstheme="minorHAnsi"/>
        </w:rPr>
        <w:t xml:space="preserve">  </w:t>
      </w:r>
      <w:r w:rsidRPr="001B2461">
        <w:rPr>
          <w:rFonts w:asciiTheme="minorHAnsi" w:hAnsiTheme="minorHAnsi" w:cstheme="minorHAnsi"/>
        </w:rPr>
        <w:t>Asfalty i produkty asfaltowe – Oznaczenie penetracji igłą</w:t>
      </w:r>
    </w:p>
    <w:p w:rsidR="0004588F" w:rsidRPr="001B2461" w:rsidRDefault="0004588F" w:rsidP="0004588F">
      <w:pPr>
        <w:tabs>
          <w:tab w:val="left" w:pos="426"/>
        </w:tabs>
        <w:rPr>
          <w:rFonts w:asciiTheme="minorHAnsi" w:hAnsiTheme="minorHAnsi" w:cstheme="minorHAnsi"/>
          <w:sz w:val="16"/>
          <w:szCs w:val="16"/>
        </w:rPr>
      </w:pP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ab/>
        <w:t>PN-EN 1427</w:t>
      </w:r>
      <w:r w:rsidRPr="001B2461">
        <w:rPr>
          <w:rFonts w:asciiTheme="minorHAnsi" w:hAnsiTheme="minorHAnsi" w:cstheme="minorHAnsi"/>
        </w:rPr>
        <w:tab/>
        <w:t xml:space="preserve">Asfalty i produkty asfaltowe – Oznaczenie temperatury </w:t>
      </w:r>
      <w:proofErr w:type="spellStart"/>
      <w:r w:rsidRPr="001B2461">
        <w:rPr>
          <w:rFonts w:asciiTheme="minorHAnsi" w:hAnsiTheme="minorHAnsi" w:cstheme="minorHAnsi"/>
        </w:rPr>
        <w:t>mięknienia</w:t>
      </w:r>
      <w:proofErr w:type="spellEnd"/>
      <w:r w:rsidRPr="001B2461">
        <w:rPr>
          <w:rFonts w:asciiTheme="minorHAnsi" w:hAnsiTheme="minorHAnsi" w:cstheme="minorHAnsi"/>
        </w:rPr>
        <w:t xml:space="preserve"> – Metoda pierścień i kula.</w:t>
      </w: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  <w:sz w:val="16"/>
          <w:szCs w:val="16"/>
        </w:rPr>
      </w:pP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ab/>
        <w:t>PN-EN 1428</w:t>
      </w:r>
      <w:r w:rsidRPr="001B2461">
        <w:rPr>
          <w:rFonts w:asciiTheme="minorHAnsi" w:hAnsiTheme="minorHAnsi" w:cstheme="minorHAnsi"/>
        </w:rPr>
        <w:tab/>
        <w:t>Asfalty i produkty asfaltowe – Oznaczenie zawartości wody w emulsjach asfaltowych – Metoda destylacji azeotropowej.</w:t>
      </w: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ab/>
        <w:t>PN-EN 1429</w:t>
      </w:r>
      <w:r w:rsidRPr="001B2461">
        <w:rPr>
          <w:rFonts w:asciiTheme="minorHAnsi" w:hAnsiTheme="minorHAnsi" w:cstheme="minorHAnsi"/>
        </w:rPr>
        <w:tab/>
        <w:t>Asfalty i produkty asfaltowe – Oznaczenie pozostałości na sicie emulsji asfaltowych oraz trwałości podczas magazynowania metodą pozostałości na sicie.</w:t>
      </w: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ab/>
        <w:t>PN-EN 12846</w:t>
      </w:r>
      <w:r w:rsidRPr="001B2461">
        <w:rPr>
          <w:rFonts w:asciiTheme="minorHAnsi" w:hAnsiTheme="minorHAnsi" w:cstheme="minorHAnsi"/>
        </w:rPr>
        <w:tab/>
        <w:t>Asfalty i lepiszcza asfaltowe – Oznaczenie czasu wypływu emulsji asfaltowych lepkościomierzem wypływowym.</w:t>
      </w: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ab/>
        <w:t>PN-EN 12847</w:t>
      </w:r>
      <w:r w:rsidRPr="001B2461">
        <w:rPr>
          <w:rFonts w:asciiTheme="minorHAnsi" w:hAnsiTheme="minorHAnsi" w:cstheme="minorHAnsi"/>
        </w:rPr>
        <w:tab/>
        <w:t>Asfalty i lepiszcza asfaltowe – Oznaczenie sedymentacji emulsji asfaltowych.</w:t>
      </w: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ab/>
        <w:t>PN-EN 13074</w:t>
      </w:r>
      <w:r w:rsidRPr="001B2461">
        <w:rPr>
          <w:rFonts w:asciiTheme="minorHAnsi" w:hAnsiTheme="minorHAnsi" w:cstheme="minorHAnsi"/>
        </w:rPr>
        <w:tab/>
        <w:t>Asfalty i lepiszcza asfaltowe – Oznaczenie lepiszczy z emulsji asfaltowych przez odparowanie.</w:t>
      </w: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ab/>
        <w:t>PN-EN 13075-1</w:t>
      </w:r>
      <w:r w:rsidRPr="001B2461">
        <w:rPr>
          <w:rFonts w:asciiTheme="minorHAnsi" w:hAnsiTheme="minorHAnsi" w:cstheme="minorHAnsi"/>
        </w:rPr>
        <w:tab/>
        <w:t>Asfalty i lepiszcza asfaltowe – Badanie rozpadu – część 1: Oznaczenie indeksu rozpadu kationowych emulsji asfaltowych, metoda z wypełniaczem mineralnym.</w:t>
      </w: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ab/>
        <w:t>PN-EN 13614</w:t>
      </w:r>
      <w:r w:rsidRPr="001B2461">
        <w:rPr>
          <w:rFonts w:asciiTheme="minorHAnsi" w:hAnsiTheme="minorHAnsi" w:cstheme="minorHAnsi"/>
        </w:rPr>
        <w:tab/>
        <w:t>Asfalty i lepiszcza asfaltowe – Oznaczenie przyczepności emulsji bitumicznych przez zanurzenie w wodzie – Metoda z kruszywem.</w:t>
      </w: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</w:p>
    <w:p w:rsidR="0004588F" w:rsidRPr="001B2461" w:rsidRDefault="0004588F" w:rsidP="0004588F">
      <w:pPr>
        <w:tabs>
          <w:tab w:val="left" w:pos="426"/>
        </w:tabs>
        <w:ind w:left="2268" w:hanging="2268"/>
        <w:rPr>
          <w:rFonts w:asciiTheme="minorHAnsi" w:hAnsiTheme="minorHAnsi" w:cstheme="minorHAnsi"/>
        </w:rPr>
      </w:pPr>
      <w:r w:rsidRPr="001B2461">
        <w:rPr>
          <w:rFonts w:asciiTheme="minorHAnsi" w:hAnsiTheme="minorHAnsi" w:cstheme="minorHAnsi"/>
        </w:rPr>
        <w:tab/>
        <w:t>WT-3 Emulsje asfaltowe 2009.</w:t>
      </w:r>
    </w:p>
    <w:p w:rsidR="00DD307A" w:rsidRDefault="00DD307A"/>
    <w:sectPr w:rsidR="00DD307A" w:rsidSect="00613123">
      <w:footerReference w:type="default" r:id="rId7"/>
      <w:pgSz w:w="11906" w:h="16838"/>
      <w:pgMar w:top="1417" w:right="1417" w:bottom="1417" w:left="1417" w:header="708" w:footer="708" w:gutter="0"/>
      <w:pgNumType w:start="9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DD7" w:rsidRDefault="004F4DD7" w:rsidP="00444BC2">
      <w:pPr>
        <w:spacing w:line="240" w:lineRule="auto"/>
      </w:pPr>
      <w:r>
        <w:separator/>
      </w:r>
    </w:p>
  </w:endnote>
  <w:endnote w:type="continuationSeparator" w:id="0">
    <w:p w:rsidR="004F4DD7" w:rsidRDefault="004F4DD7" w:rsidP="00444B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04797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44BC2" w:rsidRDefault="00444BC2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444BC2">
          <w:rPr>
            <w:rFonts w:asciiTheme="minorHAnsi" w:hAnsiTheme="minorHAnsi" w:cstheme="minorHAnsi"/>
          </w:rPr>
          <w:t xml:space="preserve">str. </w:t>
        </w:r>
        <w:r w:rsidR="003D5AD7" w:rsidRPr="00444BC2">
          <w:rPr>
            <w:rFonts w:asciiTheme="minorHAnsi" w:hAnsiTheme="minorHAnsi" w:cstheme="minorHAnsi"/>
          </w:rPr>
          <w:fldChar w:fldCharType="begin"/>
        </w:r>
        <w:r w:rsidRPr="00444BC2">
          <w:rPr>
            <w:rFonts w:asciiTheme="minorHAnsi" w:hAnsiTheme="minorHAnsi" w:cstheme="minorHAnsi"/>
          </w:rPr>
          <w:instrText xml:space="preserve"> PAGE    \* MERGEFORMAT </w:instrText>
        </w:r>
        <w:r w:rsidR="003D5AD7" w:rsidRPr="00444BC2">
          <w:rPr>
            <w:rFonts w:asciiTheme="minorHAnsi" w:hAnsiTheme="minorHAnsi" w:cstheme="minorHAnsi"/>
          </w:rPr>
          <w:fldChar w:fldCharType="separate"/>
        </w:r>
        <w:r w:rsidR="00613123">
          <w:rPr>
            <w:rFonts w:asciiTheme="minorHAnsi" w:hAnsiTheme="minorHAnsi" w:cstheme="minorHAnsi"/>
            <w:noProof/>
          </w:rPr>
          <w:t>96</w:t>
        </w:r>
        <w:r w:rsidR="003D5AD7" w:rsidRPr="00444BC2">
          <w:rPr>
            <w:rFonts w:asciiTheme="minorHAnsi" w:hAnsiTheme="minorHAnsi" w:cstheme="minorHAnsi"/>
          </w:rPr>
          <w:fldChar w:fldCharType="end"/>
        </w:r>
      </w:p>
    </w:sdtContent>
  </w:sdt>
  <w:p w:rsidR="00444BC2" w:rsidRDefault="00444BC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DD7" w:rsidRDefault="004F4DD7" w:rsidP="00444BC2">
      <w:pPr>
        <w:spacing w:line="240" w:lineRule="auto"/>
      </w:pPr>
      <w:r>
        <w:separator/>
      </w:r>
    </w:p>
  </w:footnote>
  <w:footnote w:type="continuationSeparator" w:id="0">
    <w:p w:rsidR="004F4DD7" w:rsidRDefault="004F4DD7" w:rsidP="00444B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94B3B"/>
    <w:multiLevelType w:val="hybridMultilevel"/>
    <w:tmpl w:val="0B725EAA"/>
    <w:lvl w:ilvl="0" w:tplc="689EDCBE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>
    <w:nsid w:val="4AFC77BD"/>
    <w:multiLevelType w:val="multilevel"/>
    <w:tmpl w:val="99DAD73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7DC5447"/>
    <w:multiLevelType w:val="hybridMultilevel"/>
    <w:tmpl w:val="D4DEC4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D04EBB"/>
    <w:multiLevelType w:val="hybridMultilevel"/>
    <w:tmpl w:val="513CC69E"/>
    <w:lvl w:ilvl="0" w:tplc="0380B4DE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588F"/>
    <w:rsid w:val="0004588F"/>
    <w:rsid w:val="001910F0"/>
    <w:rsid w:val="003D5AD7"/>
    <w:rsid w:val="00444BC2"/>
    <w:rsid w:val="004F4DD7"/>
    <w:rsid w:val="0055262D"/>
    <w:rsid w:val="00613123"/>
    <w:rsid w:val="007E18D9"/>
    <w:rsid w:val="007E2EB1"/>
    <w:rsid w:val="008B198C"/>
    <w:rsid w:val="00963384"/>
    <w:rsid w:val="009F15FB"/>
    <w:rsid w:val="00B10704"/>
    <w:rsid w:val="00DC5EF3"/>
    <w:rsid w:val="00DD3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xkx"/>
    <w:qFormat/>
    <w:rsid w:val="0004588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 1,Title 1"/>
    <w:basedOn w:val="Normalny"/>
    <w:next w:val="Normalny"/>
    <w:link w:val="Nagwek1Znak"/>
    <w:qFormat/>
    <w:rsid w:val="0004588F"/>
    <w:pPr>
      <w:keepNext/>
      <w:numPr>
        <w:numId w:val="1"/>
      </w:numPr>
      <w:spacing w:line="240" w:lineRule="auto"/>
      <w:outlineLvl w:val="0"/>
    </w:pPr>
    <w:rPr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04588F"/>
    <w:pPr>
      <w:keepNext/>
      <w:numPr>
        <w:ilvl w:val="1"/>
        <w:numId w:val="1"/>
      </w:numPr>
      <w:jc w:val="left"/>
      <w:outlineLvl w:val="1"/>
    </w:pPr>
    <w:rPr>
      <w:sz w:val="26"/>
      <w:szCs w:val="20"/>
    </w:rPr>
  </w:style>
  <w:style w:type="paragraph" w:styleId="Nagwek3">
    <w:name w:val="heading 3"/>
    <w:basedOn w:val="Normalny"/>
    <w:next w:val="Normalny"/>
    <w:link w:val="Nagwek3Znak"/>
    <w:qFormat/>
    <w:rsid w:val="0004588F"/>
    <w:pPr>
      <w:keepNext/>
      <w:numPr>
        <w:ilvl w:val="2"/>
        <w:numId w:val="1"/>
      </w:numPr>
      <w:tabs>
        <w:tab w:val="left" w:pos="1701"/>
        <w:tab w:val="left" w:pos="1985"/>
      </w:tabs>
      <w:spacing w:before="120" w:after="120" w:line="240" w:lineRule="auto"/>
      <w:ind w:right="-720"/>
      <w:outlineLvl w:val="2"/>
    </w:pPr>
    <w:rPr>
      <w:i/>
      <w:snapToGrid w:val="0"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04588F"/>
    <w:pPr>
      <w:keepNext/>
      <w:numPr>
        <w:ilvl w:val="3"/>
        <w:numId w:val="1"/>
      </w:numPr>
      <w:spacing w:line="240" w:lineRule="auto"/>
      <w:ind w:right="-720"/>
      <w:outlineLvl w:val="3"/>
    </w:pPr>
    <w:rPr>
      <w:b/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04588F"/>
    <w:pPr>
      <w:keepNext/>
      <w:numPr>
        <w:ilvl w:val="6"/>
        <w:numId w:val="1"/>
      </w:numPr>
      <w:suppressAutoHyphens/>
      <w:spacing w:line="240" w:lineRule="auto"/>
      <w:ind w:right="-720"/>
      <w:jc w:val="left"/>
      <w:outlineLvl w:val="6"/>
    </w:pPr>
    <w:rPr>
      <w:b/>
      <w:sz w:val="21"/>
      <w:szCs w:val="20"/>
    </w:rPr>
  </w:style>
  <w:style w:type="paragraph" w:styleId="Nagwek8">
    <w:name w:val="heading 8"/>
    <w:basedOn w:val="Normalny"/>
    <w:next w:val="Normalny"/>
    <w:link w:val="Nagwek8Znak"/>
    <w:qFormat/>
    <w:rsid w:val="0004588F"/>
    <w:pPr>
      <w:keepNext/>
      <w:numPr>
        <w:ilvl w:val="7"/>
        <w:numId w:val="1"/>
      </w:numPr>
      <w:suppressAutoHyphens/>
      <w:spacing w:line="240" w:lineRule="auto"/>
      <w:ind w:right="44"/>
      <w:outlineLvl w:val="7"/>
    </w:pPr>
    <w:rPr>
      <w:b/>
      <w:sz w:val="21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04588F"/>
    <w:pPr>
      <w:keepNext/>
      <w:numPr>
        <w:ilvl w:val="8"/>
        <w:numId w:val="1"/>
      </w:numPr>
      <w:spacing w:line="240" w:lineRule="auto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 1 Znak,Title 1 Znak"/>
    <w:basedOn w:val="Domylnaczcionkaakapitu"/>
    <w:link w:val="Nagwek1"/>
    <w:rsid w:val="0004588F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4588F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4588F"/>
    <w:rPr>
      <w:rFonts w:ascii="Times New Roman" w:eastAsia="Times New Roman" w:hAnsi="Times New Roman" w:cs="Times New Roman"/>
      <w:i/>
      <w:snapToGrid w:val="0"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588F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4588F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4588F"/>
    <w:rPr>
      <w:rFonts w:ascii="Times New Roman" w:eastAsia="Times New Roman" w:hAnsi="Times New Roman" w:cs="Times New Roman"/>
      <w:b/>
      <w:sz w:val="21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04588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0458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458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04588F"/>
    <w:pPr>
      <w:spacing w:line="240" w:lineRule="auto"/>
      <w:ind w:firstLine="0"/>
      <w:jc w:val="left"/>
    </w:pPr>
    <w:rPr>
      <w:rFonts w:ascii="Courier" w:hAnsi="Courier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444B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44B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4B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4B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1206</Words>
  <Characters>7240</Characters>
  <Application>Microsoft Office Word</Application>
  <DocSecurity>0</DocSecurity>
  <Lines>60</Lines>
  <Paragraphs>16</Paragraphs>
  <ScaleCrop>false</ScaleCrop>
  <Company>Scott Wilson Sp. z o.o</Company>
  <LinksUpToDate>false</LinksUpToDate>
  <CharactersWithSpaces>8430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Wilson Sp. z.o.o.</dc:creator>
  <cp:lastModifiedBy>Scott Wilson Sp. z.o.o.</cp:lastModifiedBy>
  <cp:revision>7</cp:revision>
  <dcterms:created xsi:type="dcterms:W3CDTF">2012-05-16T11:47:00Z</dcterms:created>
  <dcterms:modified xsi:type="dcterms:W3CDTF">2012-08-06T11:43:00Z</dcterms:modified>
</cp:coreProperties>
</file>